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A0" w:rsidRPr="003054B2" w:rsidRDefault="000D3CA0" w:rsidP="00E804FC"/>
    <w:p w:rsidR="000D3CA0" w:rsidRPr="003054B2" w:rsidRDefault="000D3CA0" w:rsidP="00230FF0">
      <w:pPr>
        <w:pStyle w:val="Default"/>
        <w:jc w:val="center"/>
        <w:rPr>
          <w:rFonts w:ascii="Times New Roman" w:hAnsi="Times New Roman" w:cs="Times New Roman"/>
          <w:b/>
          <w:bCs/>
          <w:color w:val="auto"/>
          <w:sz w:val="52"/>
          <w:szCs w:val="52"/>
        </w:rPr>
      </w:pPr>
      <w:r w:rsidRPr="003054B2">
        <w:rPr>
          <w:rFonts w:ascii="Times New Roman" w:hAnsi="Times New Roman" w:cs="Times New Roman"/>
          <w:b/>
          <w:noProof/>
          <w:color w:val="auto"/>
          <w:sz w:val="22"/>
          <w:szCs w:val="22"/>
        </w:rPr>
        <w:drawing>
          <wp:inline distT="0" distB="0" distL="0" distR="0">
            <wp:extent cx="2113915" cy="20186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915" cy="2018665"/>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A34D55" w:rsidRDefault="00A34D55" w:rsidP="00A34D55">
      <w:pPr>
        <w:pStyle w:val="Default"/>
        <w:spacing w:line="276" w:lineRule="auto"/>
        <w:jc w:val="center"/>
        <w:rPr>
          <w:rFonts w:ascii="Times New Roman" w:hAnsi="Times New Roman" w:cs="Times New Roman"/>
          <w:b/>
          <w:bCs/>
          <w:color w:val="auto"/>
          <w:sz w:val="52"/>
          <w:szCs w:val="52"/>
        </w:rPr>
      </w:pPr>
      <w:bookmarkStart w:id="0" w:name="_GoBack"/>
      <w:bookmarkEnd w:id="0"/>
      <w:r>
        <w:rPr>
          <w:rFonts w:ascii="Times New Roman" w:hAnsi="Times New Roman" w:cs="Times New Roman"/>
          <w:b/>
          <w:bCs/>
          <w:color w:val="auto"/>
          <w:sz w:val="52"/>
          <w:szCs w:val="52"/>
        </w:rPr>
        <w:t>BÜYÜK TÜYSÜZ İLOKULU</w:t>
      </w:r>
      <w:r w:rsidR="000D3CA0" w:rsidRPr="003054B2">
        <w:rPr>
          <w:rFonts w:ascii="Times New Roman" w:hAnsi="Times New Roman" w:cs="Times New Roman"/>
          <w:b/>
          <w:bCs/>
          <w:color w:val="auto"/>
          <w:sz w:val="52"/>
          <w:szCs w:val="52"/>
        </w:rPr>
        <w:t xml:space="preserve"> MÜDÜRLÜĞÜ</w:t>
      </w:r>
    </w:p>
    <w:p w:rsidR="00CB0B60" w:rsidRDefault="00CB0B60"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r w:rsidR="00B16C7E">
        <w:rPr>
          <w:rFonts w:ascii="Times New Roman" w:hAnsi="Times New Roman" w:cs="Times New Roman"/>
          <w:color w:val="auto"/>
          <w:sz w:val="22"/>
          <w:szCs w:val="22"/>
        </w:rPr>
        <w:t>Büyük Tüysüz İlkokulu Müdürlüğünde</w:t>
      </w:r>
      <w:r w:rsidR="008567D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ile bağlı tüm iş kollarındaki çalışanların uymaları gereken İş Sağlığı ve Güvenliği kurallarının belirlenmesidir.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-(1) Bu yönetmelik, 20/6/2012 tarihli ve 6331 sayılı İş Sağlığı ve</w:t>
      </w:r>
      <w:r w:rsidR="00CB0B60">
        <w:rPr>
          <w:rFonts w:ascii="Times New Roman" w:hAnsi="Times New Roman" w:cs="Times New Roman"/>
          <w:color w:val="auto"/>
          <w:sz w:val="22"/>
          <w:szCs w:val="22"/>
        </w:rPr>
        <w:t xml:space="preserve"> Güvenliği Kanunu kapsamında,</w:t>
      </w:r>
      <w:r w:rsidR="00B16C7E" w:rsidRPr="00B16C7E">
        <w:rPr>
          <w:rFonts w:ascii="Times New Roman" w:hAnsi="Times New Roman" w:cs="Times New Roman"/>
          <w:color w:val="auto"/>
          <w:sz w:val="22"/>
          <w:szCs w:val="22"/>
        </w:rPr>
        <w:t xml:space="preserve"> </w:t>
      </w:r>
      <w:r w:rsidR="00B16C7E">
        <w:rPr>
          <w:rFonts w:ascii="Times New Roman" w:hAnsi="Times New Roman" w:cs="Times New Roman"/>
          <w:color w:val="auto"/>
          <w:sz w:val="22"/>
          <w:szCs w:val="22"/>
        </w:rPr>
        <w:t xml:space="preserve">Büyük Tüysüz İlkokulu </w:t>
      </w:r>
      <w:r w:rsidRPr="003054B2">
        <w:rPr>
          <w:rFonts w:ascii="Times New Roman" w:hAnsi="Times New Roman" w:cs="Times New Roman"/>
          <w:color w:val="auto"/>
          <w:sz w:val="22"/>
          <w:szCs w:val="22"/>
        </w:rPr>
        <w:t>Müdürlüğü’nün görev ve yetki alanı</w:t>
      </w:r>
      <w:r w:rsidR="00A34D5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w:t>
      </w:r>
      <w:r w:rsidR="00CB0B60">
        <w:rPr>
          <w:rFonts w:ascii="Times New Roman" w:hAnsi="Times New Roman" w:cs="Times New Roman"/>
          <w:color w:val="auto"/>
          <w:sz w:val="22"/>
          <w:szCs w:val="22"/>
        </w:rPr>
        <w:t xml:space="preserve">tüm işyerlerini </w:t>
      </w:r>
      <w:r w:rsidRPr="003054B2">
        <w:rPr>
          <w:rFonts w:ascii="Times New Roman" w:hAnsi="Times New Roman" w:cs="Times New Roman"/>
          <w:color w:val="auto"/>
          <w:sz w:val="22"/>
          <w:szCs w:val="22"/>
        </w:rPr>
        <w:t xml:space="preserve">kapsar.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düzenlenen , </w:t>
      </w:r>
      <w:r w:rsidR="00BC66A0" w:rsidRPr="003054B2">
        <w:rPr>
          <w:rFonts w:ascii="Times New Roman" w:hAnsi="Times New Roman" w:cs="Times New Roman"/>
          <w:i/>
          <w:color w:val="auto"/>
          <w:sz w:val="22"/>
          <w:szCs w:val="22"/>
        </w:rPr>
        <w:t xml:space="preserve">18.01.2013 tarih </w:t>
      </w:r>
      <w:r w:rsidR="00653C7B" w:rsidRPr="003054B2">
        <w:rPr>
          <w:rFonts w:ascii="Times New Roman" w:hAnsi="Times New Roman" w:cs="Times New Roman"/>
          <w:i/>
          <w:color w:val="auto"/>
          <w:sz w:val="22"/>
          <w:szCs w:val="22"/>
        </w:rPr>
        <w:t xml:space="preserve"> ve 28532 sayılı Resmi Gazete’de</w:t>
      </w:r>
      <w:r w:rsidR="00A34D55">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A34D5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Müdürlük : </w:t>
      </w:r>
      <w:r w:rsidR="00B16C7E" w:rsidRPr="00B16C7E">
        <w:rPr>
          <w:rFonts w:ascii="Times New Roman" w:hAnsi="Times New Roman" w:cs="Times New Roman"/>
          <w:b/>
          <w:color w:val="auto"/>
          <w:sz w:val="22"/>
          <w:szCs w:val="22"/>
        </w:rPr>
        <w:t>Büyük Tüysüz İlkokulu Müdürlüğü</w:t>
      </w:r>
      <w:r w:rsidR="00B16C7E">
        <w:rPr>
          <w:rFonts w:ascii="Times New Roman" w:hAnsi="Times New Roman" w:cs="Times New Roman"/>
          <w:b/>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 xml:space="preserve">b) İş Sağlığı ve Güvenliği </w:t>
      </w:r>
      <w:r w:rsidR="00B366BC" w:rsidRPr="003054B2">
        <w:rPr>
          <w:rFonts w:ascii="Times New Roman" w:hAnsi="Times New Roman" w:cs="Times New Roman"/>
          <w:color w:val="auto"/>
          <w:sz w:val="22"/>
          <w:szCs w:val="22"/>
        </w:rPr>
        <w:t>Kurulu:</w:t>
      </w:r>
      <w:r w:rsidR="00B16C7E" w:rsidRPr="00B16C7E">
        <w:rPr>
          <w:rFonts w:ascii="Times New Roman" w:hAnsi="Times New Roman" w:cs="Times New Roman"/>
          <w:color w:val="auto"/>
          <w:sz w:val="22"/>
          <w:szCs w:val="22"/>
        </w:rPr>
        <w:t xml:space="preserve"> Büyük Tüysüz İlkokulu Müdürlüğün</w:t>
      </w:r>
      <w:r w:rsidR="00B16C7E">
        <w:rPr>
          <w:rFonts w:ascii="Times New Roman" w:hAnsi="Times New Roman" w:cs="Times New Roman"/>
          <w:color w:val="auto"/>
          <w:sz w:val="22"/>
          <w:szCs w:val="22"/>
        </w:rPr>
        <w:t>de oluşturulan kurul</w:t>
      </w:r>
      <w:r w:rsidRPr="00B16C7E">
        <w:rPr>
          <w:rFonts w:ascii="Times New Roman" w:hAnsi="Times New Roman" w:cs="Times New Roman"/>
          <w:color w:val="auto"/>
          <w:sz w:val="22"/>
          <w:szCs w:val="22"/>
        </w:rPr>
        <w:t>.</w:t>
      </w:r>
      <w:r w:rsidRPr="003054B2">
        <w:rPr>
          <w:rFonts w:ascii="Times New Roman" w:hAnsi="Times New Roman" w:cs="Times New Roman"/>
          <w:b/>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İşveren: </w:t>
      </w:r>
      <w:r w:rsidR="00B16C7E">
        <w:rPr>
          <w:rFonts w:ascii="Times New Roman" w:hAnsi="Times New Roman" w:cs="Times New Roman"/>
          <w:color w:val="auto"/>
          <w:sz w:val="22"/>
          <w:szCs w:val="22"/>
        </w:rPr>
        <w:t>Büyük Tüysüz İlkokulu Müdürlüğü</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İşveren vekili: </w:t>
      </w:r>
      <w:r w:rsidR="00B16C7E">
        <w:rPr>
          <w:rFonts w:ascii="Times New Roman" w:hAnsi="Times New Roman" w:cs="Times New Roman"/>
          <w:color w:val="auto"/>
          <w:sz w:val="22"/>
          <w:szCs w:val="22"/>
        </w:rPr>
        <w:t>Büyük Tüysüz İlkokulu Müdürlüğü</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 İşyerinde iş sağlığı ve güvenliği hizmetlerinde görev yapmak üzere Çalışma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Sosyal Güvenlik Bakanlığınca belgelendirilmiş hekimler.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Diğer sağlık personeli:Hemşire, sağlık memuru, acil tıp teknisyeni veya çevre sağlığı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teknisyeni. </w:t>
      </w:r>
    </w:p>
    <w:p w:rsidR="00230FF0" w:rsidRPr="003054B2" w:rsidRDefault="00230FF0" w:rsidP="00230FF0">
      <w:pPr>
        <w:pStyle w:val="Default"/>
        <w:rPr>
          <w:rFonts w:ascii="Times New Roman" w:hAnsi="Times New Roman" w:cs="Times New Roman"/>
          <w:color w:val="auto"/>
          <w:sz w:val="22"/>
          <w:szCs w:val="22"/>
        </w:rPr>
      </w:pPr>
    </w:p>
    <w:p w:rsidR="00740B2B"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Çalışan: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Müdürlüğü’ne bağlı </w:t>
      </w:r>
      <w:r w:rsidR="00BB0EBF">
        <w:rPr>
          <w:rFonts w:ascii="Times New Roman" w:hAnsi="Times New Roman" w:cs="Times New Roman"/>
          <w:color w:val="auto"/>
          <w:sz w:val="22"/>
          <w:szCs w:val="22"/>
        </w:rPr>
        <w:t>o</w:t>
      </w:r>
      <w:r w:rsidRPr="003054B2">
        <w:rPr>
          <w:rFonts w:ascii="Times New Roman" w:hAnsi="Times New Roman" w:cs="Times New Roman"/>
          <w:color w:val="auto"/>
          <w:sz w:val="22"/>
          <w:szCs w:val="22"/>
        </w:rPr>
        <w:t xml:space="preserve">kul ve </w:t>
      </w:r>
      <w:r w:rsidR="00BB0EBF">
        <w:rPr>
          <w:rFonts w:ascii="Times New Roman" w:hAnsi="Times New Roman" w:cs="Times New Roman"/>
          <w:color w:val="auto"/>
          <w:sz w:val="22"/>
          <w:szCs w:val="22"/>
        </w:rPr>
        <w:t>k</w:t>
      </w:r>
      <w:r w:rsidRPr="003054B2">
        <w:rPr>
          <w:rFonts w:ascii="Times New Roman" w:hAnsi="Times New Roman" w:cs="Times New Roman"/>
          <w:color w:val="auto"/>
          <w:sz w:val="22"/>
          <w:szCs w:val="22"/>
        </w:rPr>
        <w:t>urumlarda görev yapan</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kadrolu öğretmen</w:t>
      </w:r>
      <w:r w:rsidR="00A07156">
        <w:rPr>
          <w:rFonts w:ascii="Times New Roman" w:hAnsi="Times New Roman" w:cs="Times New Roman"/>
          <w:color w:val="auto"/>
          <w:sz w:val="22"/>
          <w:szCs w:val="22"/>
        </w:rPr>
        <w:t>ler</w:t>
      </w:r>
      <w:r w:rsidR="00E37A60">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memur</w:t>
      </w:r>
      <w:r w:rsidR="00E37A60">
        <w:rPr>
          <w:rFonts w:ascii="Times New Roman" w:hAnsi="Times New Roman" w:cs="Times New Roman"/>
          <w:color w:val="auto"/>
          <w:sz w:val="22"/>
          <w:szCs w:val="22"/>
        </w:rPr>
        <w:t>lar,</w:t>
      </w:r>
      <w:r w:rsidR="00E7331B">
        <w:rPr>
          <w:rFonts w:ascii="Times New Roman" w:hAnsi="Times New Roman" w:cs="Times New Roman"/>
          <w:color w:val="auto"/>
          <w:sz w:val="22"/>
          <w:szCs w:val="22"/>
        </w:rPr>
        <w:t xml:space="preserve"> sürekli </w:t>
      </w:r>
      <w:r w:rsidR="00740B2B">
        <w:rPr>
          <w:rFonts w:ascii="Times New Roman" w:hAnsi="Times New Roman" w:cs="Times New Roman"/>
          <w:color w:val="auto"/>
          <w:sz w:val="22"/>
          <w:szCs w:val="22"/>
        </w:rPr>
        <w:t xml:space="preserve">kamu işçileri , 657 sayılı devlet memurları kanununun  </w:t>
      </w:r>
      <w:r w:rsidR="00E37A60">
        <w:rPr>
          <w:rFonts w:ascii="Times New Roman" w:hAnsi="Times New Roman" w:cs="Times New Roman"/>
          <w:color w:val="auto"/>
          <w:sz w:val="22"/>
          <w:szCs w:val="22"/>
        </w:rPr>
        <w:t>4/c kapsa</w:t>
      </w:r>
    </w:p>
    <w:p w:rsidR="0076487F" w:rsidRDefault="00E37A60"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mında</w:t>
      </w:r>
      <w:r w:rsidR="00B16C7E">
        <w:rPr>
          <w:rFonts w:ascii="Times New Roman" w:hAnsi="Times New Roman" w:cs="Times New Roman"/>
          <w:color w:val="auto"/>
          <w:sz w:val="22"/>
          <w:szCs w:val="22"/>
        </w:rPr>
        <w:t xml:space="preserve"> </w:t>
      </w:r>
      <w:r w:rsidR="007A17A7">
        <w:rPr>
          <w:rFonts w:ascii="Times New Roman" w:hAnsi="Times New Roman" w:cs="Times New Roman"/>
          <w:color w:val="auto"/>
          <w:sz w:val="22"/>
          <w:szCs w:val="22"/>
        </w:rPr>
        <w:t xml:space="preserve">çalışan </w:t>
      </w:r>
      <w:r w:rsidR="00740B2B">
        <w:rPr>
          <w:rFonts w:ascii="Times New Roman" w:hAnsi="Times New Roman" w:cs="Times New Roman"/>
          <w:color w:val="auto"/>
          <w:sz w:val="22"/>
          <w:szCs w:val="22"/>
        </w:rPr>
        <w:t>geçici personeller</w:t>
      </w:r>
      <w:r w:rsidR="007A17A7">
        <w:rPr>
          <w:rFonts w:ascii="Times New Roman" w:hAnsi="Times New Roman" w:cs="Times New Roman"/>
          <w:color w:val="auto"/>
          <w:sz w:val="22"/>
          <w:szCs w:val="22"/>
        </w:rPr>
        <w:t>,</w:t>
      </w:r>
      <w:r w:rsidR="00D62EF9">
        <w:rPr>
          <w:rFonts w:ascii="Times New Roman" w:hAnsi="Times New Roman" w:cs="Times New Roman"/>
          <w:color w:val="auto"/>
          <w:sz w:val="22"/>
          <w:szCs w:val="22"/>
        </w:rPr>
        <w:t>ücretli öğretmenler</w:t>
      </w:r>
      <w:r w:rsidR="00B16C7E">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İş-Kur </w:t>
      </w:r>
      <w:r w:rsidR="00E7331B">
        <w:rPr>
          <w:rFonts w:ascii="Times New Roman" w:hAnsi="Times New Roman" w:cs="Times New Roman"/>
          <w:color w:val="auto"/>
          <w:sz w:val="22"/>
          <w:szCs w:val="22"/>
        </w:rPr>
        <w:t>tarafında</w:t>
      </w:r>
      <w:r w:rsidR="00D62EF9">
        <w:rPr>
          <w:rFonts w:ascii="Times New Roman" w:hAnsi="Times New Roman" w:cs="Times New Roman"/>
          <w:color w:val="auto"/>
          <w:sz w:val="22"/>
          <w:szCs w:val="22"/>
        </w:rPr>
        <w:t>n gönderilen geçici personeller</w:t>
      </w:r>
      <w:r>
        <w:rPr>
          <w:rFonts w:ascii="Times New Roman" w:hAnsi="Times New Roman" w:cs="Times New Roman"/>
          <w:color w:val="auto"/>
          <w:sz w:val="22"/>
          <w:szCs w:val="22"/>
        </w:rPr>
        <w:t xml:space="preserve"> ve kurumda çalışan diğer personeller.</w:t>
      </w: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İş İlişkisi: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 İşyeri:İşveren tarafından mal veya hizmet üretmek amacıyla maddî olan ve olmayan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unsurlar ile çalışanın birlikte örgütlendiği birim.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k) İşyeri sağlık ve güvenlik birimi (İSGB): İş sağlığı ve güvenliği hizmetlerini yürütmek</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l) İş Kazası: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m) Tehlike : Çalışma şartlarının, çalışılan </w:t>
      </w:r>
      <w:r w:rsidR="007619DD" w:rsidRPr="003054B2">
        <w:rPr>
          <w:rFonts w:ascii="Times New Roman" w:hAnsi="Times New Roman" w:cs="Times New Roman"/>
          <w:color w:val="auto"/>
          <w:sz w:val="22"/>
          <w:szCs w:val="22"/>
        </w:rPr>
        <w:t>makine</w:t>
      </w:r>
      <w:r w:rsidRPr="003054B2">
        <w:rPr>
          <w:rFonts w:ascii="Times New Roman" w:hAnsi="Times New Roman" w:cs="Times New Roman"/>
          <w:color w:val="auto"/>
          <w:sz w:val="22"/>
          <w:szCs w:val="22"/>
        </w:rPr>
        <w:t xml:space="preserve"> ve ekipman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 Risk:Belirli bir tehlikeli olayın meydana gelme olasılığı ile bu olayın sonuçlarının ortaya</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Risk değerlendirilmesi:İşyerinde tüm tehlikeli olay ve durumların meydana gelme</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 Kullanılacak iş ekipmanının, kimyasal madde ve preparatların seçimi, işyerindeki çalışma</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 Yeni teknolojinin planlanması ve uygulanmasında, seçilecek iş ekipmanının çalışma ortam</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k) Ciddi tehlike bulunduğu bilinen özel yerlere sadece yeterli bilgi ve talimat verilen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dikkate alınarak; iş sağlığı ve güvenliği ile iş hijyeni önlemlerinin uygulanmasında işbirliği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Özellikle ilkyardım, acil tıbbi müdahale, kurtarma ve yangınla mücadele konularında,işyeri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q) Ciddi, yakın ve önlenemeyen tehlike durumunda, çalışanların işi bırakarak derhal çalışma</w:t>
      </w:r>
      <w:r w:rsidR="00CC0EB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yerlerinden ayrılıp güvenli bir yere gidebilmeleri için gerekli talimatın verilmesi ve gerekenin</w:t>
      </w:r>
      <w:r w:rsidR="00CC0EB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r) Ciddi ve yakın tehlike durumunun devam ettiği çalışma şartlarında, zorunlu kalınması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halinde, gerekli donanıma sahip ve özel olarak görevlendirilen kişiler hariç, çalışanlardan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çalışmaya devam etmelerinin istenmemesi, </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ekipmana karar vermesi,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y)İşyerinde iş sağlığı ve güvenliği hizmetlerinin etkin bir biçimde sürdürülmesi için</w:t>
      </w:r>
      <w:r w:rsidR="00CC0EB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bilgilendirilmesi esastır. Bu amaçla;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a.a)Çalışanlara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a.b)İşverenler işyerinde alınan iş sağlığı ve güvenliği önlemlerine uyulup uyulmadığını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denetlemek, çalışanları karşı karşıya bulundukları mesleki riskler, alınması gerekli tedbirler,yasal hak ve </w:t>
      </w:r>
      <w:r w:rsidRPr="003054B2">
        <w:rPr>
          <w:rFonts w:ascii="Times New Roman" w:hAnsi="Times New Roman" w:cs="Times New Roman"/>
          <w:color w:val="auto"/>
          <w:sz w:val="22"/>
          <w:szCs w:val="22"/>
        </w:rPr>
        <w:lastRenderedPageBreak/>
        <w:t>sorumlulukları konusunda bilgilendirmek ve gerekli iş sağlığı ve güvenliği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a.c)İşverenler işyerlerinde meydana gelen iş kazasını ve tespit edilecek meslek hastalığını 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a.d)Bu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w:t>
      </w:r>
      <w:r w:rsidR="00C013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hususlara uymakla yükümlüdür.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daha önce hiç risk değerlendirmesi yapılmamış olması,çalışanların sağlık ve güvenliğini etkileyebilecek aşağıda belirtilen önemli değişikliklerin</w:t>
      </w:r>
      <w:r w:rsidR="00C013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olması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ekipman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Risk değerlendirmesi süreçleri;Risk değerlendirmesi, aşağıdaki sıralamada yer alan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 Planlama: Risk değerlendirmesi çalışmaları, mevcut mevzuat ve işyeri koşulları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w:t>
      </w:r>
      <w:r w:rsidR="005632B4" w:rsidRPr="003054B2">
        <w:rPr>
          <w:rFonts w:ascii="Times New Roman" w:hAnsi="Times New Roman" w:cs="Times New Roman"/>
          <w:color w:val="auto"/>
          <w:sz w:val="22"/>
          <w:szCs w:val="22"/>
        </w:rPr>
        <w:t>k</w:t>
      </w:r>
      <w:r w:rsidRPr="003054B2">
        <w:rPr>
          <w:rFonts w:ascii="Times New Roman" w:hAnsi="Times New Roman" w:cs="Times New Roman"/>
          <w:color w:val="auto"/>
          <w:sz w:val="22"/>
          <w:szCs w:val="22"/>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Önlemlerin belirlenmesi: ilgili mevzuat ve işyeri koşulları dikkate alınarak alınması gerekli önlemlere karar verilir.İşyerindeki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(6) Risk değerlendirmesini yapacak personelin niteliği: Risk değerlendirmesinin, işveren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 Yönetim, danışma, bilgilendirme ve eğitim:İşveren müessese tarafından, risk</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18.01.2013 tarihli ve 28532 sayılı Resmi Gazete’de</w:t>
      </w:r>
      <w:r w:rsidR="00C013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Yönetmelikte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-(1)İşverenler, devamlı olarak en az elli çalışan çalıştırdıkları işyerlerinde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)İşyerlerinde görevlendirilen işyeri hekimi ve iş güvenliği uzmanı ile hizmet alınan</w:t>
      </w:r>
      <w:r w:rsidR="00C013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kurumların  geçerli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)Çalışanlar, sağlık ve güvenliklerini etkileyebilecek tehlikeleri iş sağlığı ve güvenliği</w:t>
      </w:r>
      <w:r w:rsidR="009A0DF7">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kuruluna, kurulun bulunmadığı işyerlerinde ise işveren veya işveren vekiline bildirerek</w:t>
      </w:r>
      <w:r w:rsidR="009A0DF7">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durumun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(7)Çalışanlar, işyerinde yürütülecek iş sağlığı ve güvenliği hizmetlerinin amaç ve usulleri</w:t>
      </w:r>
      <w:r w:rsidR="009A0DF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konusunda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(8)Çalışanlar, işverene karşı yükümlülükleri saklı kalmak şartıyla işyerinde sağlık ve</w:t>
      </w:r>
      <w:r w:rsidR="009A0DF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güvenliğin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(9)İş sağlığı ve güvenliği hizmetleri ve eğitimleri çalışanlara mali yük getirmeyecek şekildeve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F2374B" w:rsidP="00D50BFB">
      <w:pPr>
        <w:rPr>
          <w:rFonts w:ascii="Times New Roman" w:hAnsi="Times New Roman" w:cs="Times New Roman"/>
        </w:rPr>
      </w:pPr>
      <w:r w:rsidRPr="003054B2">
        <w:rPr>
          <w:rFonts w:ascii="Times New Roman" w:hAnsi="Times New Roman" w:cs="Times New Roman"/>
        </w:rPr>
        <w:t>(3) İSGB’</w:t>
      </w:r>
      <w:r w:rsidR="009A0DF7">
        <w:rPr>
          <w:rFonts w:ascii="Times New Roman" w:hAnsi="Times New Roman" w:cs="Times New Roman"/>
        </w:rPr>
        <w:t xml:space="preserve"> </w:t>
      </w:r>
      <w:r w:rsidRPr="003054B2">
        <w:rPr>
          <w:rFonts w:ascii="Times New Roman" w:hAnsi="Times New Roman" w:cs="Times New Roman"/>
        </w:rPr>
        <w:t>nin bölümleri aynı alanda bulunur ve bu alan çalışanlar tarafından kolaylıkla görülebilecek şekilde işaretlenir.</w:t>
      </w:r>
    </w:p>
    <w:p w:rsidR="008A72E6" w:rsidRPr="003054B2" w:rsidRDefault="008A72E6" w:rsidP="00D50BFB">
      <w:pPr>
        <w:rPr>
          <w:rFonts w:ascii="Times New Roman" w:hAnsi="Times New Roman" w:cs="Times New Roman"/>
        </w:rPr>
      </w:pPr>
    </w:p>
    <w:p w:rsidR="00BB4212" w:rsidRPr="003054B2" w:rsidRDefault="00BB4212" w:rsidP="00D50BFB">
      <w:pPr>
        <w:rPr>
          <w:rFonts w:ascii="Times New Roman" w:hAnsi="Times New Roman" w:cs="Times New Roman"/>
        </w:rPr>
      </w:pPr>
      <w:r w:rsidRPr="003054B2">
        <w:rPr>
          <w:rFonts w:ascii="Times New Roman" w:hAnsi="Times New Roman" w:cs="Times New Roman"/>
        </w:rPr>
        <w:lastRenderedPageBreak/>
        <w:t>İşyeri Sağlık ve Güvenlik Birimi Çalışma Usul ve Esasları</w:t>
      </w:r>
    </w:p>
    <w:p w:rsidR="00BB4212" w:rsidRPr="003054B2" w:rsidRDefault="00BB4212" w:rsidP="00D50BFB">
      <w:pPr>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izlenmesinden,sorumludurlar.</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8A72E6">
      <w:pPr>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r w:rsidR="00304D79">
        <w:rPr>
          <w:rFonts w:ascii="Times New Roman" w:hAnsi="Times New Roman" w:cs="Times New Roman"/>
          <w:color w:val="auto"/>
          <w:sz w:val="22"/>
          <w:szCs w:val="22"/>
        </w:rPr>
        <w:t>Osmaniye</w:t>
      </w:r>
      <w:r w:rsidR="00230FF0" w:rsidRPr="003054B2">
        <w:rPr>
          <w:rFonts w:ascii="Times New Roman" w:hAnsi="Times New Roman" w:cs="Times New Roman"/>
          <w:color w:val="auto"/>
          <w:sz w:val="22"/>
          <w:szCs w:val="22"/>
        </w:rPr>
        <w:t xml:space="preserve"> İl Milli Eğitim Müdürlüğü bünyesinde çalışan tüm</w:t>
      </w:r>
      <w:r w:rsidR="009A0DF7">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personelin çalışma süresince uyması zorunlu iş sağlığı ve güvenliği ile ilgili genel kurallar aşağıda belirtilmiştir. Tüm çalışanların bu kurallar çerçevesinde çalışması ve olası güvensiz</w:t>
      </w:r>
      <w:r w:rsidR="009A0DF7">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refakatsiz olarak bulunmaları engellenecektir,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)Emniyet ve tertibat sağlanmadan, gerekli önlemler alınmadan elektrikle ilgili çalışma yapmak yasaktır. Ehil olmayan kişiler elektrikle ilgili tam</w:t>
      </w:r>
      <w:r w:rsidRPr="003054B2">
        <w:rPr>
          <w:rFonts w:ascii="Times New Roman" w:hAnsi="Times New Roman" w:cs="Times New Roman"/>
          <w:color w:val="auto"/>
          <w:sz w:val="22"/>
          <w:szCs w:val="22"/>
        </w:rPr>
        <w:t xml:space="preserve">ir,bakım,onarım yapamazlar. </w:t>
      </w:r>
    </w:p>
    <w:p w:rsidR="00230FF0" w:rsidRPr="003054B2" w:rsidRDefault="00230FF0"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r w:rsidR="00DB701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r w:rsidR="00B366BC">
        <w:rPr>
          <w:rFonts w:ascii="Times New Roman" w:hAnsi="Times New Roman" w:cs="Times New Roman"/>
          <w:color w:val="auto"/>
          <w:sz w:val="22"/>
          <w:szCs w:val="22"/>
        </w:rPr>
        <w:t xml:space="preserve">Lpglerin bodrum katta bulunması yasaktır. Lpg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dahilinde muhtelif yangın tehlikeleri için yapılmış ikaz ve uyarılara riayet etmek gerekir.Yanıcı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de bulunan lpg ve doğalgaz vanaları mesai bitiminde</w:t>
      </w:r>
      <w:r w:rsidR="00FC4A97" w:rsidRPr="003054B2">
        <w:rPr>
          <w:rFonts w:ascii="Times New Roman" w:hAnsi="Times New Roman" w:cs="Times New Roman"/>
          <w:color w:val="auto"/>
          <w:sz w:val="22"/>
          <w:szCs w:val="22"/>
        </w:rPr>
        <w:t xml:space="preserve"> kullanan personel tarafından </w:t>
      </w:r>
      <w:r w:rsidR="00D61F15" w:rsidRPr="003054B2">
        <w:rPr>
          <w:rFonts w:ascii="Times New Roman" w:hAnsi="Times New Roman" w:cs="Times New Roman"/>
          <w:color w:val="auto"/>
          <w:sz w:val="22"/>
          <w:szCs w:val="22"/>
        </w:rPr>
        <w:t xml:space="preserve"> kapatılacaktır.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 xml:space="preserve">,diğer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B366BC"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kullanılan ekipmanların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847143">
            <w:pPr>
              <w:contextualSpacing/>
              <w:jc w:val="both"/>
            </w:pPr>
            <w:r w:rsidRPr="003054B2">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Projede belirtilen kriterlere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Projede belirtilen kriterlere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AB1BBE">
      <w:pPr>
        <w:numPr>
          <w:ilvl w:val="0"/>
          <w:numId w:val="2"/>
        </w:numPr>
        <w:autoSpaceDE w:val="0"/>
        <w:autoSpaceDN w:val="0"/>
        <w:adjustRightInd w:val="0"/>
        <w:spacing w:after="0"/>
        <w:ind w:left="0"/>
        <w:contextualSpacing/>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kesinlikle şakalaşılmamalıdır.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mahale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İkaz levhası, korkuluk, muhafazalık veya merdiven gerektiren yerler vakit geçirilmeden işyeri amirlerine ve yetkililere bildirilmelidir.</w:t>
      </w:r>
      <w:r w:rsidR="00DE5B95">
        <w:rPr>
          <w:rFonts w:ascii="Times New Roman" w:eastAsia="TimesNewRomanPSMT" w:hAnsi="Times New Roman" w:cs="Times New Roman"/>
        </w:rPr>
        <w:t xml:space="preserve"> Korkulukların yükseklikleri en az 100 cm olmalı , üzerlerinde kaymayı önleyici tedbirler alınmalıdır.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koymayınız.Yüksek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Yürürken aynı zamanda asla evrak okumayın.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kapayınız.(Işık,klima,şarj cihazı v.b.)</w:t>
      </w:r>
    </w:p>
    <w:p w:rsidR="008A72E6" w:rsidRPr="003054B2" w:rsidRDefault="008A72E6"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antilatör,klima</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9F5A23">
      <w:pPr>
        <w:spacing w:after="0"/>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Makina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9F5A23">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9F5A23">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lastRenderedPageBreak/>
        <w:t>Tüm pano ve tablolarda kaçak akım sigortası kullanılmalı ,ayda bir test edilmelidir.</w:t>
      </w:r>
    </w:p>
    <w:p w:rsidR="005C2203" w:rsidRPr="003054B2" w:rsidRDefault="005C220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Yangınla Mücadele:</w:t>
      </w: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B16C7E">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5C2203" w:rsidRPr="003054B2" w:rsidRDefault="005C2203" w:rsidP="00B16C7E">
      <w:pPr>
        <w:autoSpaceDE w:val="0"/>
        <w:autoSpaceDN w:val="0"/>
        <w:adjustRightInd w:val="0"/>
        <w:spacing w:after="0"/>
        <w:rPr>
          <w:rFonts w:ascii="Times New Roman" w:hAnsi="Times New Roman" w:cs="Times New Roman"/>
          <w:kern w:val="24"/>
        </w:rPr>
      </w:pPr>
      <w:r w:rsidRPr="003054B2">
        <w:rPr>
          <w:rFonts w:ascii="Times New Roman" w:hAnsi="Times New Roman" w:cs="Times New Roman"/>
          <w:kern w:val="24"/>
        </w:rPr>
        <w:t>.</w:t>
      </w:r>
    </w:p>
    <w:p w:rsidR="009E7965" w:rsidRPr="003054B2" w:rsidRDefault="009E7965" w:rsidP="009E7965">
      <w:pPr>
        <w:autoSpaceDE w:val="0"/>
        <w:autoSpaceDN w:val="0"/>
        <w:adjustRightInd w:val="0"/>
        <w:spacing w:after="0"/>
        <w:rPr>
          <w:rFonts w:ascii="Times New Roman" w:hAnsi="Times New Roman" w:cs="Times New Roman"/>
          <w:kern w:val="24"/>
        </w:rPr>
      </w:pP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5C2203" w:rsidRPr="003054B2" w:rsidRDefault="005C2203" w:rsidP="005C2203">
      <w:pPr>
        <w:autoSpaceDE w:val="0"/>
        <w:autoSpaceDN w:val="0"/>
        <w:adjustRightInd w:val="0"/>
        <w:spacing w:after="0"/>
        <w:rPr>
          <w:rFonts w:ascii="Times New Roman" w:hAnsi="Times New Roman" w:cs="Times New Roman"/>
          <w:kern w:val="24"/>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kazası sayılan haller: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230FF0">
      <w:pPr>
        <w:pStyle w:val="Default"/>
        <w:rPr>
          <w:rFonts w:ascii="Times New Roman" w:hAnsi="Times New Roman" w:cs="Times New Roman"/>
          <w:color w:val="auto"/>
          <w:sz w:val="22"/>
          <w:szCs w:val="22"/>
        </w:rPr>
      </w:pPr>
    </w:p>
    <w:p w:rsidR="004A55CC"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İş kazası halinde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Kaza, kazanın olduğu Okul/Kurum</w:t>
      </w:r>
      <w:r w:rsidR="009A0DF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müdürlüğünce, İş Sağlığı ve Güvenliği Kurulu ile </w:t>
      </w:r>
      <w:r w:rsidR="00B16C7E">
        <w:rPr>
          <w:rFonts w:ascii="Times New Roman" w:hAnsi="Times New Roman" w:cs="Times New Roman"/>
          <w:color w:val="auto"/>
          <w:sz w:val="22"/>
          <w:szCs w:val="22"/>
        </w:rPr>
        <w:t>Büyük Tüysüz İlkokulu Müdürlüğü</w:t>
      </w:r>
      <w:r w:rsidR="009A0DF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anında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 İş kazasının olduğu her Okul/Kurum</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kazanın olduğu yerdeki Cumhuriyet Savcılığına, kolluk kuvvetlerine ve </w:t>
      </w:r>
      <w:r w:rsidR="00304D79">
        <w:rPr>
          <w:rFonts w:ascii="Times New Roman" w:hAnsi="Times New Roman" w:cs="Times New Roman"/>
          <w:color w:val="auto"/>
          <w:sz w:val="22"/>
          <w:szCs w:val="22"/>
        </w:rPr>
        <w:t>Osmaniye</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 Milli Eğitim Müdürlüğüne derhal yazılı olarak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r w:rsidR="00B16C7E">
        <w:rPr>
          <w:rFonts w:ascii="Times New Roman" w:hAnsi="Times New Roman" w:cs="Times New Roman"/>
          <w:color w:val="auto"/>
          <w:sz w:val="22"/>
          <w:szCs w:val="22"/>
        </w:rPr>
        <w:t>Büyük Tüysüz İlkokulu Müdürlüğü</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verilir.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 Olay Tutanağına göre</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na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Yürürlük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(1) Bu yönetmelik</w:t>
      </w:r>
      <w:r w:rsidR="00B9562C" w:rsidRPr="00B9562C">
        <w:rPr>
          <w:rFonts w:ascii="Times New Roman" w:hAnsi="Times New Roman" w:cs="Times New Roman"/>
          <w:color w:val="auto"/>
          <w:sz w:val="22"/>
          <w:szCs w:val="22"/>
        </w:rPr>
        <w:t xml:space="preserve"> </w:t>
      </w:r>
      <w:r w:rsidR="00B9562C">
        <w:rPr>
          <w:rFonts w:ascii="Times New Roman" w:hAnsi="Times New Roman" w:cs="Times New Roman"/>
          <w:color w:val="auto"/>
          <w:sz w:val="22"/>
          <w:szCs w:val="22"/>
        </w:rPr>
        <w:t>Büyük Tüysüz İlkokulu</w:t>
      </w:r>
      <w:r w:rsidR="00B9562C" w:rsidRPr="003054B2">
        <w:rPr>
          <w:rFonts w:ascii="Times New Roman" w:hAnsi="Times New Roman" w:cs="Times New Roman"/>
          <w:color w:val="auto"/>
          <w:sz w:val="22"/>
          <w:szCs w:val="22"/>
        </w:rPr>
        <w:t xml:space="preserve"> Müdürlüğü</w:t>
      </w:r>
      <w:r w:rsidRPr="003054B2">
        <w:rPr>
          <w:rFonts w:ascii="Times New Roman" w:hAnsi="Times New Roman" w:cs="Times New Roman"/>
          <w:color w:val="auto"/>
          <w:sz w:val="22"/>
          <w:szCs w:val="22"/>
        </w:rPr>
        <w:t xml:space="preserve"> tarafından kabulünü müteakip </w:t>
      </w:r>
      <w:r w:rsidR="00B9562C">
        <w:rPr>
          <w:rFonts w:ascii="Times New Roman" w:hAnsi="Times New Roman" w:cs="Times New Roman"/>
          <w:color w:val="auto"/>
          <w:sz w:val="22"/>
          <w:szCs w:val="22"/>
        </w:rPr>
        <w:t>Büyük Tüysüz İlkokulu</w:t>
      </w:r>
      <w:r w:rsidR="00B9562C" w:rsidRPr="003054B2">
        <w:rPr>
          <w:rFonts w:ascii="Times New Roman" w:hAnsi="Times New Roman" w:cs="Times New Roman"/>
          <w:color w:val="auto"/>
          <w:sz w:val="22"/>
          <w:szCs w:val="22"/>
        </w:rPr>
        <w:t xml:space="preserve"> Müdürlüğü </w:t>
      </w:r>
      <w:r w:rsidRPr="003054B2">
        <w:rPr>
          <w:rFonts w:ascii="Times New Roman" w:hAnsi="Times New Roman" w:cs="Times New Roman"/>
          <w:color w:val="auto"/>
          <w:sz w:val="22"/>
          <w:szCs w:val="22"/>
        </w:rPr>
        <w:t xml:space="preserve">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A34D55">
        <w:rPr>
          <w:rFonts w:ascii="Times New Roman" w:hAnsi="Times New Roman" w:cs="Times New Roman"/>
          <w:color w:val="auto"/>
          <w:sz w:val="22"/>
          <w:szCs w:val="22"/>
        </w:rPr>
        <w:t xml:space="preserve"> </w:t>
      </w:r>
      <w:r w:rsidR="00B9562C">
        <w:rPr>
          <w:rFonts w:ascii="Times New Roman" w:hAnsi="Times New Roman" w:cs="Times New Roman"/>
          <w:color w:val="auto"/>
          <w:sz w:val="22"/>
          <w:szCs w:val="22"/>
        </w:rPr>
        <w:t>Büyük Tüysüz İlkokulu</w:t>
      </w:r>
      <w:r w:rsidR="00230FF0" w:rsidRPr="003054B2">
        <w:rPr>
          <w:rFonts w:ascii="Times New Roman" w:hAnsi="Times New Roman" w:cs="Times New Roman"/>
          <w:color w:val="auto"/>
          <w:sz w:val="22"/>
          <w:szCs w:val="22"/>
        </w:rPr>
        <w:t xml:space="preserve"> 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7F294A" w:rsidRDefault="00A40A73" w:rsidP="00F05E23">
      <w:pPr>
        <w:pStyle w:val="Default"/>
        <w:jc w:val="center"/>
        <w:rPr>
          <w:rFonts w:ascii="Times New Roman" w:hAnsi="Times New Roman" w:cs="Times New Roman"/>
          <w:b/>
          <w:color w:val="auto"/>
          <w:sz w:val="22"/>
          <w:szCs w:val="22"/>
        </w:rPr>
      </w:pPr>
      <w:r w:rsidRPr="007F294A">
        <w:rPr>
          <w:rFonts w:ascii="Times New Roman" w:hAnsi="Times New Roman" w:cs="Times New Roman"/>
          <w:b/>
          <w:color w:val="auto"/>
          <w:sz w:val="22"/>
          <w:szCs w:val="22"/>
        </w:rPr>
        <w:t>. .</w:t>
      </w:r>
      <w:r w:rsidR="00591BA2">
        <w:rPr>
          <w:rFonts w:ascii="Times New Roman" w:hAnsi="Times New Roman" w:cs="Times New Roman"/>
          <w:b/>
          <w:color w:val="auto"/>
          <w:sz w:val="22"/>
          <w:szCs w:val="22"/>
        </w:rPr>
        <w:t xml:space="preserve"> /</w:t>
      </w:r>
      <w:r w:rsidRPr="007F294A">
        <w:rPr>
          <w:rFonts w:ascii="Times New Roman" w:hAnsi="Times New Roman" w:cs="Times New Roman"/>
          <w:b/>
          <w:color w:val="auto"/>
          <w:sz w:val="22"/>
          <w:szCs w:val="22"/>
        </w:rPr>
        <w:t>06</w:t>
      </w:r>
      <w:r w:rsidR="00405666" w:rsidRPr="007F294A">
        <w:rPr>
          <w:rFonts w:ascii="Times New Roman" w:hAnsi="Times New Roman" w:cs="Times New Roman"/>
          <w:b/>
          <w:color w:val="auto"/>
          <w:sz w:val="22"/>
          <w:szCs w:val="22"/>
        </w:rPr>
        <w:t>/2016</w:t>
      </w:r>
    </w:p>
    <w:p w:rsidR="00F05E23" w:rsidRPr="003054B2" w:rsidRDefault="00A34D55"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Ömer BENLİ</w:t>
      </w:r>
    </w:p>
    <w:p w:rsidR="000B7C3E" w:rsidRPr="003054B2" w:rsidRDefault="00A34D55"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Okul</w:t>
      </w:r>
      <w:r w:rsidR="00F05E23" w:rsidRPr="003054B2">
        <w:rPr>
          <w:rFonts w:ascii="Times New Roman" w:hAnsi="Times New Roman" w:cs="Times New Roman"/>
          <w:b/>
          <w:color w:val="auto"/>
          <w:sz w:val="22"/>
          <w:szCs w:val="22"/>
        </w:rPr>
        <w:t xml:space="preserve"> Müdürü</w:t>
      </w: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E44C49" w:rsidRDefault="00E44C49"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Pr="003054B2" w:rsidRDefault="004C6C3F" w:rsidP="00A46A9E">
      <w:pPr>
        <w:autoSpaceDE w:val="0"/>
        <w:autoSpaceDN w:val="0"/>
        <w:adjustRightInd w:val="0"/>
        <w:spacing w:after="0" w:line="240" w:lineRule="auto"/>
        <w:rPr>
          <w:rFonts w:ascii="Times New Roman" w:hAnsi="Times New Roman" w:cs="Times New Roman"/>
        </w:rPr>
      </w:pP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lastRenderedPageBreak/>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304D79" w:rsidP="00E44C4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A46A9E" w:rsidRPr="003054B2">
        <w:rPr>
          <w:rFonts w:ascii="Times New Roman" w:hAnsi="Times New Roman" w:cs="Times New Roman"/>
        </w:rPr>
        <w:t xml:space="preserve"> İl Milli Eğitim 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……………………………......Okulun/Kurumun ………………………….………… biriminde    ......../........./..........    tarihinde, saat ................... sıralarında ............................................................................................bir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 xml:space="preserve">İşbu kaza tutanağı tarafımızdan..................................tarihinde................................mahallinde </w:t>
      </w:r>
    </w:p>
    <w:p w:rsidR="00A46A9E" w:rsidRPr="003054B2" w:rsidRDefault="00A46A9E" w:rsidP="00A46A9E">
      <w:pPr>
        <w:spacing w:line="360" w:lineRule="auto"/>
        <w:jc w:val="both"/>
        <w:rPr>
          <w:rFonts w:ascii="Times New Roman" w:hAnsi="Times New Roman" w:cs="Times New Roman"/>
        </w:rPr>
      </w:pPr>
      <w:r w:rsidRPr="003054B2">
        <w:rPr>
          <w:rFonts w:ascii="Times New Roman" w:hAnsi="Times New Roman" w:cs="Times New Roman"/>
        </w:rPr>
        <w:t>düzenlenmiş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Görevi Adı ve Soyadıİmzası</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Default="00A46A9E" w:rsidP="00A46A9E">
      <w:pPr>
        <w:rPr>
          <w:rFonts w:ascii="Times New Roman" w:hAnsi="Times New Roman" w:cs="Times New Roman"/>
        </w:rPr>
      </w:pPr>
    </w:p>
    <w:p w:rsidR="004C6C3F" w:rsidRDefault="004C6C3F" w:rsidP="00A46A9E">
      <w:pPr>
        <w:rPr>
          <w:rFonts w:ascii="Times New Roman" w:hAnsi="Times New Roman" w:cs="Times New Roman"/>
        </w:rPr>
      </w:pPr>
    </w:p>
    <w:p w:rsidR="004C6C3F" w:rsidRDefault="004C6C3F" w:rsidP="00A46A9E">
      <w:pPr>
        <w:rPr>
          <w:rFonts w:ascii="Times New Roman" w:hAnsi="Times New Roman" w:cs="Times New Roman"/>
        </w:rPr>
      </w:pPr>
    </w:p>
    <w:p w:rsidR="004C6C3F" w:rsidRDefault="004C6C3F" w:rsidP="00A46A9E">
      <w:pPr>
        <w:rPr>
          <w:rFonts w:ascii="Times New Roman" w:hAnsi="Times New Roman" w:cs="Times New Roman"/>
        </w:rPr>
      </w:pPr>
    </w:p>
    <w:p w:rsidR="004C6C3F" w:rsidRPr="003054B2" w:rsidRDefault="004C6C3F"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r w:rsidRPr="003054B2">
        <w:rPr>
          <w:rFonts w:ascii="Times New Roman" w:hAnsi="Times New Roman" w:cs="Times New Roman"/>
        </w:rPr>
        <w:t>……./…../20……</w:t>
      </w:r>
    </w:p>
    <w:p w:rsidR="008C4C63" w:rsidRPr="003054B2" w:rsidRDefault="00304D79"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8C4C63" w:rsidRPr="003054B2">
        <w:rPr>
          <w:rFonts w:ascii="Times New Roman" w:hAnsi="Times New Roman" w:cs="Times New Roman"/>
        </w:rPr>
        <w:t xml:space="preserve"> İl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NASIL OLDU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lastRenderedPageBreak/>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304D79"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8C4C63" w:rsidRPr="003054B2">
        <w:rPr>
          <w:rFonts w:ascii="Times New Roman" w:hAnsi="Times New Roman" w:cs="Times New Roman"/>
        </w:rPr>
        <w:t xml:space="preserve"> İl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Adı,Soyadı:</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SIRASINDA KAZALI NE İŞ YAPIYORDU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NASIL OLDU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pPr>
        <w:rPr>
          <w:rFonts w:ascii="Times New Roman" w:hAnsi="Times New Roman" w:cs="Times New Roman"/>
        </w:rPr>
      </w:pPr>
    </w:p>
    <w:sectPr w:rsidR="00A46A9E" w:rsidRPr="003054B2" w:rsidSect="00D713E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6C" w:rsidRDefault="001B5E6C" w:rsidP="009C4FD8">
      <w:pPr>
        <w:spacing w:after="0" w:line="240" w:lineRule="auto"/>
      </w:pPr>
      <w:r>
        <w:separator/>
      </w:r>
    </w:p>
  </w:endnote>
  <w:endnote w:type="continuationSeparator" w:id="1">
    <w:p w:rsidR="001B5E6C" w:rsidRDefault="001B5E6C" w:rsidP="009C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0" w:type="dxa"/>
      <w:tblBorders>
        <w:top w:val="single" w:sz="4" w:space="0" w:color="auto"/>
      </w:tblBorders>
      <w:tblCellMar>
        <w:left w:w="70" w:type="dxa"/>
        <w:right w:w="70" w:type="dxa"/>
      </w:tblCellMar>
      <w:tblLook w:val="0000"/>
    </w:tblPr>
    <w:tblGrid>
      <w:gridCol w:w="9103"/>
    </w:tblGrid>
    <w:tr w:rsidR="00B16C7E" w:rsidTr="00004F94">
      <w:trPr>
        <w:trHeight w:val="100"/>
      </w:trPr>
      <w:tc>
        <w:tcPr>
          <w:tcW w:w="9103" w:type="dxa"/>
        </w:tcPr>
        <w:p w:rsidR="00B16C7E" w:rsidRDefault="00B16C7E" w:rsidP="00004F94">
          <w:pPr>
            <w:pStyle w:val="Altbilgi"/>
            <w:jc w:val="right"/>
          </w:pPr>
        </w:p>
      </w:tc>
    </w:tr>
  </w:tbl>
  <w:sdt>
    <w:sdtPr>
      <w:id w:val="-180662018"/>
      <w:docPartObj>
        <w:docPartGallery w:val="Page Numbers (Bottom of Page)"/>
        <w:docPartUnique/>
      </w:docPartObj>
    </w:sdtPr>
    <w:sdtContent>
      <w:p w:rsidR="00B16C7E" w:rsidRDefault="00B16C7E" w:rsidP="00004F94">
        <w:pPr>
          <w:pStyle w:val="Altbilgi"/>
          <w:jc w:val="right"/>
        </w:pPr>
        <w:r>
          <w:t xml:space="preserve">Büyük Tüysüz İlkokulu Müdürlüğü İç Yönergesi                           Hazırlayan: İş Sağlığı ve Güvenliği Kurulu              </w:t>
        </w:r>
        <w:fldSimple w:instr="PAGE   \* MERGEFORMAT">
          <w:r w:rsidR="00B9562C">
            <w:rPr>
              <w:noProof/>
            </w:rPr>
            <w:t>1</w:t>
          </w:r>
        </w:fldSimple>
      </w:p>
    </w:sdtContent>
  </w:sdt>
  <w:p w:rsidR="00B16C7E" w:rsidRDefault="00B16C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6C" w:rsidRDefault="001B5E6C" w:rsidP="009C4FD8">
      <w:pPr>
        <w:spacing w:after="0" w:line="240" w:lineRule="auto"/>
      </w:pPr>
      <w:r>
        <w:separator/>
      </w:r>
    </w:p>
  </w:footnote>
  <w:footnote w:type="continuationSeparator" w:id="1">
    <w:p w:rsidR="001B5E6C" w:rsidRDefault="001B5E6C" w:rsidP="009C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useFELayout/>
  </w:compat>
  <w:rsids>
    <w:rsidRoot w:val="00230FF0"/>
    <w:rsid w:val="00004F94"/>
    <w:rsid w:val="00025FD8"/>
    <w:rsid w:val="00033ABA"/>
    <w:rsid w:val="000B5D43"/>
    <w:rsid w:val="000B7C3E"/>
    <w:rsid w:val="000D1019"/>
    <w:rsid w:val="000D3CA0"/>
    <w:rsid w:val="0011128F"/>
    <w:rsid w:val="001221D0"/>
    <w:rsid w:val="001310B7"/>
    <w:rsid w:val="001342E6"/>
    <w:rsid w:val="001356FF"/>
    <w:rsid w:val="00146BF6"/>
    <w:rsid w:val="00152724"/>
    <w:rsid w:val="001B5E6C"/>
    <w:rsid w:val="001C54F7"/>
    <w:rsid w:val="001E7075"/>
    <w:rsid w:val="001F12B5"/>
    <w:rsid w:val="00230FF0"/>
    <w:rsid w:val="0023485B"/>
    <w:rsid w:val="00242070"/>
    <w:rsid w:val="00245E98"/>
    <w:rsid w:val="00271327"/>
    <w:rsid w:val="00276194"/>
    <w:rsid w:val="002972FB"/>
    <w:rsid w:val="00304D79"/>
    <w:rsid w:val="003054B2"/>
    <w:rsid w:val="003123EB"/>
    <w:rsid w:val="003301E2"/>
    <w:rsid w:val="00332C26"/>
    <w:rsid w:val="0033468C"/>
    <w:rsid w:val="003426AA"/>
    <w:rsid w:val="0034394C"/>
    <w:rsid w:val="003901CE"/>
    <w:rsid w:val="003A5FE9"/>
    <w:rsid w:val="003A7993"/>
    <w:rsid w:val="003B027D"/>
    <w:rsid w:val="003B282F"/>
    <w:rsid w:val="003D21F3"/>
    <w:rsid w:val="003D3123"/>
    <w:rsid w:val="003D759A"/>
    <w:rsid w:val="003F716A"/>
    <w:rsid w:val="00405666"/>
    <w:rsid w:val="00407F92"/>
    <w:rsid w:val="00486871"/>
    <w:rsid w:val="004A2DD4"/>
    <w:rsid w:val="004A55CC"/>
    <w:rsid w:val="004C4D5E"/>
    <w:rsid w:val="004C6C3F"/>
    <w:rsid w:val="004D1EBD"/>
    <w:rsid w:val="004E6B20"/>
    <w:rsid w:val="00524A0F"/>
    <w:rsid w:val="005271C1"/>
    <w:rsid w:val="00536E88"/>
    <w:rsid w:val="005616E6"/>
    <w:rsid w:val="005632B4"/>
    <w:rsid w:val="00591BA2"/>
    <w:rsid w:val="005C2203"/>
    <w:rsid w:val="005D0BBB"/>
    <w:rsid w:val="005E5B27"/>
    <w:rsid w:val="006047B3"/>
    <w:rsid w:val="00627257"/>
    <w:rsid w:val="006330BD"/>
    <w:rsid w:val="00645F36"/>
    <w:rsid w:val="00653C7B"/>
    <w:rsid w:val="006733D2"/>
    <w:rsid w:val="006820C3"/>
    <w:rsid w:val="00686135"/>
    <w:rsid w:val="006963B2"/>
    <w:rsid w:val="006B62E7"/>
    <w:rsid w:val="0070151E"/>
    <w:rsid w:val="00740B2B"/>
    <w:rsid w:val="00744B80"/>
    <w:rsid w:val="007619DD"/>
    <w:rsid w:val="0076487F"/>
    <w:rsid w:val="00780544"/>
    <w:rsid w:val="00790847"/>
    <w:rsid w:val="007A17A7"/>
    <w:rsid w:val="007D1009"/>
    <w:rsid w:val="007F294A"/>
    <w:rsid w:val="00801A9F"/>
    <w:rsid w:val="00847143"/>
    <w:rsid w:val="008567D2"/>
    <w:rsid w:val="0086279C"/>
    <w:rsid w:val="0086532E"/>
    <w:rsid w:val="008658B1"/>
    <w:rsid w:val="008A490C"/>
    <w:rsid w:val="008A72E6"/>
    <w:rsid w:val="008B175C"/>
    <w:rsid w:val="008B4426"/>
    <w:rsid w:val="008B595C"/>
    <w:rsid w:val="008C4C63"/>
    <w:rsid w:val="008D25FF"/>
    <w:rsid w:val="009146EC"/>
    <w:rsid w:val="00915F81"/>
    <w:rsid w:val="00942BBC"/>
    <w:rsid w:val="00952A8C"/>
    <w:rsid w:val="009746BE"/>
    <w:rsid w:val="009971E6"/>
    <w:rsid w:val="009A0DF7"/>
    <w:rsid w:val="009B0CF0"/>
    <w:rsid w:val="009C4FD8"/>
    <w:rsid w:val="009E7965"/>
    <w:rsid w:val="009F07EE"/>
    <w:rsid w:val="009F44E3"/>
    <w:rsid w:val="009F5A23"/>
    <w:rsid w:val="00A07156"/>
    <w:rsid w:val="00A25BAF"/>
    <w:rsid w:val="00A34D55"/>
    <w:rsid w:val="00A40A73"/>
    <w:rsid w:val="00A46A9E"/>
    <w:rsid w:val="00A470C3"/>
    <w:rsid w:val="00A549A5"/>
    <w:rsid w:val="00A6574F"/>
    <w:rsid w:val="00A66361"/>
    <w:rsid w:val="00AA6003"/>
    <w:rsid w:val="00AB1BBE"/>
    <w:rsid w:val="00AB411C"/>
    <w:rsid w:val="00AC4332"/>
    <w:rsid w:val="00AD013B"/>
    <w:rsid w:val="00AF1F15"/>
    <w:rsid w:val="00B16C7E"/>
    <w:rsid w:val="00B25B85"/>
    <w:rsid w:val="00B33EE4"/>
    <w:rsid w:val="00B366BC"/>
    <w:rsid w:val="00B62795"/>
    <w:rsid w:val="00B92351"/>
    <w:rsid w:val="00B92AE7"/>
    <w:rsid w:val="00B9562C"/>
    <w:rsid w:val="00B96547"/>
    <w:rsid w:val="00BB0EBF"/>
    <w:rsid w:val="00BB4212"/>
    <w:rsid w:val="00BC66A0"/>
    <w:rsid w:val="00BE01E7"/>
    <w:rsid w:val="00BF7A5A"/>
    <w:rsid w:val="00C013B2"/>
    <w:rsid w:val="00C03B95"/>
    <w:rsid w:val="00C16640"/>
    <w:rsid w:val="00C50084"/>
    <w:rsid w:val="00C7634C"/>
    <w:rsid w:val="00C91835"/>
    <w:rsid w:val="00CA1193"/>
    <w:rsid w:val="00CA6E66"/>
    <w:rsid w:val="00CB0B60"/>
    <w:rsid w:val="00CC0EBF"/>
    <w:rsid w:val="00D310F3"/>
    <w:rsid w:val="00D34B2E"/>
    <w:rsid w:val="00D50BFB"/>
    <w:rsid w:val="00D61F15"/>
    <w:rsid w:val="00D62EF9"/>
    <w:rsid w:val="00D62FDD"/>
    <w:rsid w:val="00D713E0"/>
    <w:rsid w:val="00DB701E"/>
    <w:rsid w:val="00DB74F8"/>
    <w:rsid w:val="00DE5B95"/>
    <w:rsid w:val="00E05121"/>
    <w:rsid w:val="00E27488"/>
    <w:rsid w:val="00E37A60"/>
    <w:rsid w:val="00E4376B"/>
    <w:rsid w:val="00E44C49"/>
    <w:rsid w:val="00E673F0"/>
    <w:rsid w:val="00E71F13"/>
    <w:rsid w:val="00E7331B"/>
    <w:rsid w:val="00E804FC"/>
    <w:rsid w:val="00E95CBA"/>
    <w:rsid w:val="00EF520A"/>
    <w:rsid w:val="00F05E23"/>
    <w:rsid w:val="00F2374B"/>
    <w:rsid w:val="00F364EE"/>
    <w:rsid w:val="00F378CF"/>
    <w:rsid w:val="00F40479"/>
    <w:rsid w:val="00F50ECD"/>
    <w:rsid w:val="00F72C2C"/>
    <w:rsid w:val="00F97B19"/>
    <w:rsid w:val="00FA7C16"/>
    <w:rsid w:val="00FA7E74"/>
    <w:rsid w:val="00FB7981"/>
    <w:rsid w:val="00FC4A97"/>
    <w:rsid w:val="00FD382A"/>
    <w:rsid w:val="00FE64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5A"/>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19</Pages>
  <Words>6487</Words>
  <Characters>36981</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admin</cp:lastModifiedBy>
  <cp:revision>10</cp:revision>
  <cp:lastPrinted>2016-06-22T06:30:00Z</cp:lastPrinted>
  <dcterms:created xsi:type="dcterms:W3CDTF">2016-06-27T07:36:00Z</dcterms:created>
  <dcterms:modified xsi:type="dcterms:W3CDTF">2016-06-29T06:52:00Z</dcterms:modified>
</cp:coreProperties>
</file>